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Объявление 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widowControl w:val="off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 проведении отбора муниципальных образован</w:t>
      </w:r>
      <w:r>
        <w:rPr>
          <w:b/>
          <w:sz w:val="27"/>
          <w:szCs w:val="27"/>
        </w:rPr>
        <w:t xml:space="preserve">ий Ленинградской области                    для предоставления субсидий из областного бюджета Ленинградской области бюджетам муниципальных образований Ленинградской области </w:t>
      </w:r>
      <w:r>
        <w:rPr>
          <w:b/>
          <w:sz w:val="24"/>
          <w:szCs w:val="24"/>
        </w:rPr>
      </w:r>
      <w:r>
        <w:rPr>
          <w:b/>
          <w:bCs/>
          <w:sz w:val="27"/>
          <w:szCs w:val="27"/>
        </w:rPr>
      </w:r>
    </w:p>
    <w:p>
      <w:pPr>
        <w:jc w:val="center"/>
        <w:widowControl w:val="off"/>
        <w:rPr>
          <w:b/>
          <w:bCs/>
          <w:sz w:val="24"/>
          <w:szCs w:val="24"/>
        </w:rPr>
      </w:pPr>
      <w:r>
        <w:rPr>
          <w:b/>
          <w:sz w:val="27"/>
          <w:szCs w:val="27"/>
        </w:rPr>
        <w:t xml:space="preserve">на обеспечение уровня финансирования организаций, осуществляющих подготовку спортивного резерва на 202</w:t>
      </w:r>
      <w:r>
        <w:rPr>
          <w:b/>
          <w:sz w:val="27"/>
          <w:szCs w:val="27"/>
        </w:rPr>
        <w:t xml:space="preserve">9</w:t>
      </w:r>
      <w:r>
        <w:rPr>
          <w:b/>
          <w:sz w:val="27"/>
          <w:szCs w:val="27"/>
        </w:rPr>
        <w:t xml:space="preserve"> год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110" w:type="pct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85"/>
        <w:gridCol w:w="3084"/>
        <w:gridCol w:w="6887"/>
      </w:tblGrid>
      <w:tr>
        <w:tblPrEx/>
        <w:trPr>
          <w:trHeight w:val="626"/>
        </w:trPr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отбора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физической культуре и спорту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Ленинградской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Санкт-Петербург, ул. </w:t>
            </w:r>
            <w:r>
              <w:rPr>
                <w:sz w:val="24"/>
                <w:szCs w:val="24"/>
              </w:rPr>
              <w:t xml:space="preserve">Лафонская</w:t>
            </w:r>
            <w:r>
              <w:rPr>
                <w:sz w:val="24"/>
                <w:szCs w:val="24"/>
              </w:rPr>
              <w:t xml:space="preserve">, д. 6В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Санкт-Петербург, ул. </w:t>
            </w:r>
            <w:r>
              <w:rPr>
                <w:sz w:val="24"/>
                <w:szCs w:val="24"/>
              </w:rPr>
              <w:t xml:space="preserve">Лафонская</w:t>
            </w:r>
            <w:r>
              <w:rPr>
                <w:sz w:val="24"/>
                <w:szCs w:val="24"/>
              </w:rPr>
              <w:t xml:space="preserve">, д. 6В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(812) </w:t>
            </w:r>
            <w:r>
              <w:rPr>
                <w:sz w:val="24"/>
                <w:szCs w:val="24"/>
              </w:rPr>
              <w:t xml:space="preserve">539-40-39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места приема заявки на участие в отборе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Санкт-П</w:t>
            </w:r>
            <w:r>
              <w:rPr>
                <w:sz w:val="24"/>
                <w:szCs w:val="24"/>
              </w:rPr>
              <w:t xml:space="preserve">етербург, ул. </w:t>
            </w:r>
            <w:r>
              <w:rPr>
                <w:sz w:val="24"/>
                <w:szCs w:val="24"/>
              </w:rPr>
              <w:t xml:space="preserve">Лафонская</w:t>
            </w:r>
            <w:r>
              <w:rPr>
                <w:sz w:val="24"/>
                <w:szCs w:val="24"/>
              </w:rPr>
              <w:t xml:space="preserve">, д. 6В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предоставляемой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областного бюджета Ленинградской области бюджетам муниципальных образований 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уровня финансирования организаций, осуществляющих подготовку спортивного резерва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предоставления субсидии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сохранение (увеличение) численности спортсменов, ставших членами спортивных сборн</w:t>
            </w:r>
            <w:r>
              <w:rPr>
                <w:sz w:val="24"/>
                <w:szCs w:val="24"/>
              </w:rPr>
              <w:t xml:space="preserve">ых команд Ленингра</w:t>
            </w:r>
            <w:r>
              <w:rPr>
                <w:sz w:val="24"/>
                <w:szCs w:val="24"/>
              </w:rPr>
              <w:t xml:space="preserve">дской области, подготовленных муниципальным учреждением, осуществляющим подготовку спортивного резерва (относительно 1 января и 31 декабря года, в котором осуществляется подача заявок муниципальных образований                   на предоставление субсидий);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увеличение количества приобретенного инвентаря, оборудования и экипировки, необходимых для прохождения спортивной подготовки в соответствии с требованиями федеральных стандартов спортивной подготовки по виду спорта;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увеличение доли финансирования услуг </w:t>
            </w:r>
            <w:r>
              <w:rPr>
                <w:sz w:val="24"/>
                <w:szCs w:val="24"/>
              </w:rPr>
              <w:t xml:space="preserve">по спортивной подготовке в соответствии с требованиями федеральных стандартов спортивной подготовки по видам спорта                                 в муниципальных учреждениях</w:t>
            </w:r>
            <w:r>
              <w:rPr>
                <w:sz w:val="24"/>
                <w:szCs w:val="24"/>
              </w:rPr>
              <w:t xml:space="preserve">, осуществляющих подготовку спортивного резерва.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Значения р</w:t>
            </w:r>
            <w:r>
              <w:rPr>
                <w:sz w:val="24"/>
                <w:szCs w:val="24"/>
              </w:rPr>
              <w:t xml:space="preserve">езультатов использования субсидии определяются                  в со</w:t>
            </w:r>
            <w:r>
              <w:rPr>
                <w:sz w:val="24"/>
                <w:szCs w:val="24"/>
              </w:rPr>
              <w:t xml:space="preserve">ответствии с заявками муниципальных образований                      на предоставление субсидий и устанавливаются в соглашении                о предоставлении субсидии, заключаемом между Комитетом                и администрацией муниципального образования.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     Детализированные требования к достижению значений результатов использования субсидии устанавливаются                         в соглашении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отбора муниципальных образований для предоставления субсидии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62" w:type="pc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Критериями отбора муниципальных образований                           для предоставления субсидий являются: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а) наличие муниципальной программы, включающей мероприятия, направленные на реализацию дополнительных образовательных программ спортивной подготовки и (или)                    на подготовку спортивного резерва (далее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–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муниципальная программа, мероприятия);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б) наличие на территории муниципального образования, участвующего в реализации мероприятий, не менее одного муниципального учрежден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ия, осуществляющего подготовку спортивного резерва в соответствии с утвержденным муниципальным заданием, либо документально подтвержденное намерение муниципального образования создать муниципальное учреждение, осуществляющее подготовку спортивного резерва.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/>
            <w:bookmarkStart w:id="0" w:name="P140"/>
            <w:r/>
            <w:bookmarkEnd w:id="0"/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pc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пособ подачи</w:t>
            </w:r>
            <w:r>
              <w:rPr>
                <w:sz w:val="24"/>
                <w:szCs w:val="24"/>
              </w:rPr>
              <w:t xml:space="preserve"> и с</w:t>
            </w:r>
            <w:r>
              <w:rPr>
                <w:sz w:val="24"/>
                <w:szCs w:val="24"/>
              </w:rPr>
              <w:t xml:space="preserve">рок предоставления заявки                 на участие в отборе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pct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З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none"/>
                <w:lang w:eastAsia="en-US"/>
              </w:rPr>
              <w:t xml:space="preserve">аявка подае</w:t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тся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9:00 22 июня 2026 года до 18:00 26 июня 2026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э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highlight w:val="none"/>
                <w:lang w:eastAsia="en-US"/>
              </w:rPr>
              <w:t xml:space="preserve">лектронном виде через систему электронного документооборота Ленинградской области, с прикреплением файлов сканированных п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рил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ожений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заявки на участие                в отборе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pc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Согласно приложению к Объявлению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документов, прилагаемых к заявке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pc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Заявка от имени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мероприятию муниципальной программы, с приложением следующих документов: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выписка из муниципальной программы, включающей мероприятия, заверенная подписью главы администрации муниципального образования;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копия муниципального задания на текущий год                               и на плановый период (для подтверждения оказания услуг                     по реализации дополнительных образовательных программ спортивной подготовки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или) работ, направленных                             на подготовку спортивного резерва), заверенная подписью главы администрации муниципального образования;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выписка о размерах средств на текущий финансовый год   и на пл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ановый период, предусмотренных в бюджете муниципального образования, или справка о размере средств, планируемых к выделению из бюджета муниципального образования на оказание услуг по реализации дополнительных образовательных программ спортивной подготовки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или) работ, направленных на подготовку спортивного резерва, заверенные подписью главы администрации муниципального образования и(или) руководителя финансового органа муниципального образования.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Муниципальное образован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ие несет ответственность          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за подлинность представленных в комитет документов. В случае выявления факта представления недостоверных документов (сведений) муниципальное образование несет ответственность                   в соответствии с законодательством Российской Федерации.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проведения отбора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pc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Заседание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комиссии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 проведению отбора муниципальных 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образований для предоставления субсидий состоится: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eastAsiaTheme="minorHAnsi"/>
                <w:sz w:val="24"/>
                <w:szCs w:val="24"/>
                <w:highlight w:val="none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01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июля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 2026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 года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 в 15.00 кабинет №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104</w:t>
            </w:r>
            <w:r>
              <w:rPr>
                <w:rFonts w:eastAsiaTheme="minorHAnsi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предварительно)</w:t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  <w:r>
              <w:rPr>
                <w:rFonts w:eastAsiaTheme="minorHAnsi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лица для разъяснения вопросов                    по подготовке и подаче заявок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2" w:type="pct"/>
            <w:textDirection w:val="lrTb"/>
            <w:noWrap w:val="false"/>
          </w:tcPr>
          <w:p>
            <w:pPr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1.Семенова Марина Георгиевна - консультант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финансового планирования, бухгалтерского учета и отчетнос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ти комитета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 (812) 539-40-42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2.Молодцева Екатерина Андреевна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 ведущий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специалист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отдела финансового планирования, бухгалтерского учета и отчетнос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ти комитета тел. (812) 539-40-39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</w:p>
          <w:p>
            <w:pPr>
              <w:jc w:val="both"/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  <w:t xml:space="preserve">3.Конышев Никита Эдуардович – главный специалист отдела физической культуры и спорта</w:t>
            </w:r>
            <w:r>
              <w:rPr>
                <w:rFonts w:eastAsiaTheme="minorHAnsi"/>
                <w:sz w:val="24"/>
                <w:szCs w:val="24"/>
                <w:highlight w:val="none"/>
                <w:lang w:eastAsia="en-US"/>
              </w:rPr>
            </w:r>
          </w:p>
        </w:tc>
      </w:tr>
    </w:tbl>
    <w:p>
      <w:pPr>
        <w:jc w:val="right"/>
        <w:widowControl w:val="off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Объявлению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963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Бланк муниципального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</w:r>
            <w:r>
              <w:rPr>
                <w:rFonts w:ascii="Courier New" w:hAnsi="Courier New" w:cs="Courier New"/>
                <w:sz w:val="28"/>
                <w:szCs w:val="28"/>
              </w:rPr>
            </w:r>
            <w:r>
              <w:rPr>
                <w:rFonts w:ascii="Courier New" w:hAnsi="Courier New" w:cs="Courier New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Председателю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комитета по физической культуре                  и спорту Ленинградской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line="276" w:lineRule="auto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В.Н. Комарову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</w:tr>
    </w:tbl>
    <w:p>
      <w:pPr>
        <w:ind w:firstLine="540"/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/>
      <w:bookmarkStart w:id="1" w:name="P172"/>
      <w:r/>
      <w:bookmarkEnd w:id="1"/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отборе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Прошу рассмотреть документы______________________________________</w:t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                                                     </w:t>
      </w:r>
      <w:r>
        <w:rPr>
          <w:rFonts w:eastAsiaTheme="minorEastAsia"/>
          <w:bCs/>
          <w:sz w:val="28"/>
          <w:szCs w:val="28"/>
        </w:rPr>
        <w:t xml:space="preserve">            </w:t>
      </w:r>
      <w:r>
        <w:rPr>
          <w:rFonts w:eastAsiaTheme="minorEastAsia"/>
          <w:bCs/>
          <w:sz w:val="28"/>
          <w:szCs w:val="28"/>
        </w:rPr>
        <w:t xml:space="preserve">  </w:t>
      </w:r>
      <w:r>
        <w:rPr>
          <w:rFonts w:eastAsiaTheme="minorEastAsia"/>
          <w:bCs/>
          <w:sz w:val="28"/>
          <w:szCs w:val="28"/>
        </w:rPr>
        <w:t xml:space="preserve">     </w:t>
      </w:r>
      <w:r>
        <w:rPr>
          <w:rFonts w:eastAsiaTheme="minorEastAsia"/>
          <w:bCs/>
          <w:sz w:val="28"/>
          <w:szCs w:val="28"/>
        </w:rPr>
        <w:t xml:space="preserve">     (полное наименование МО)</w:t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rFonts w:eastAsiaTheme="minorEastAsia"/>
          <w:bCs/>
          <w:sz w:val="28"/>
          <w:szCs w:val="28"/>
        </w:rPr>
        <w:outlineLvl w:val="0"/>
      </w:pPr>
      <w:r>
        <w:rPr>
          <w:rFonts w:eastAsiaTheme="minorEastAsia"/>
          <w:bCs/>
          <w:sz w:val="28"/>
          <w:szCs w:val="28"/>
        </w:rPr>
        <w:t xml:space="preserve">и предоставить субсидию  из областного бюджета Ленинградской области                         на обеспечение уровня финансирования организаций, осуществляющих подготовку спортивного резерва на 20</w:t>
      </w:r>
      <w:r>
        <w:rPr>
          <w:rFonts w:eastAsiaTheme="minorEastAsia"/>
          <w:bCs/>
          <w:sz w:val="28"/>
          <w:szCs w:val="28"/>
        </w:rPr>
        <w:t xml:space="preserve">29</w:t>
      </w:r>
      <w:r>
        <w:rPr>
          <w:rFonts w:eastAsiaTheme="minorEastAsia"/>
          <w:bCs/>
          <w:sz w:val="28"/>
          <w:szCs w:val="28"/>
        </w:rPr>
        <w:t xml:space="preserve"> год – ________ </w:t>
      </w:r>
      <w:r>
        <w:rPr>
          <w:rFonts w:eastAsiaTheme="minorEastAsia"/>
          <w:bCs/>
          <w:sz w:val="28"/>
          <w:szCs w:val="28"/>
        </w:rPr>
        <w:t xml:space="preserve">тыс</w:t>
      </w:r>
      <w:r>
        <w:rPr>
          <w:rFonts w:eastAsiaTheme="minorEastAsia"/>
          <w:bCs/>
          <w:sz w:val="28"/>
          <w:szCs w:val="28"/>
        </w:rPr>
        <w:t xml:space="preserve">.р</w:t>
      </w:r>
      <w:r>
        <w:rPr>
          <w:rFonts w:eastAsiaTheme="minorEastAsia"/>
          <w:bCs/>
          <w:sz w:val="28"/>
          <w:szCs w:val="28"/>
        </w:rPr>
        <w:t xml:space="preserve">уб</w:t>
      </w:r>
      <w:r>
        <w:rPr>
          <w:rFonts w:eastAsiaTheme="minorEastAsia"/>
          <w:bCs/>
          <w:sz w:val="28"/>
          <w:szCs w:val="28"/>
        </w:rPr>
        <w:t xml:space="preserve">.  </w:t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Результатами предоставления субсидии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сохранение (увеличение) числе</w:t>
      </w:r>
      <w:r>
        <w:rPr>
          <w:sz w:val="28"/>
          <w:szCs w:val="28"/>
        </w:rPr>
        <w:t xml:space="preserve">нности спортсменов, ставших членами спортивных сборных команд Ленинградской области, подготовленных муниципальным учреждением, осуществляющим подготовку спортивного резерва (относительно 1 января и 31 декабря года, в котором осуществляется подача заявок), </w:t>
      </w:r>
      <w:r>
        <w:rPr>
          <w:sz w:val="28"/>
          <w:szCs w:val="28"/>
        </w:rPr>
        <w:t xml:space="preserve">и составит 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году___чел</w:t>
      </w:r>
      <w:r>
        <w:rPr>
          <w:sz w:val="28"/>
          <w:szCs w:val="28"/>
        </w:rPr>
        <w:t xml:space="preserve">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увеличение количества приобретенн</w:t>
      </w:r>
      <w:r>
        <w:rPr>
          <w:sz w:val="28"/>
          <w:szCs w:val="28"/>
        </w:rPr>
        <w:t xml:space="preserve">ого инвентаря, оборудования                             и экипировки, необходимых для прохождения спортивной подготовки                               в соответствии с требованиями федеральных стандартов спортивной подготовки                 по виду спорта,</w:t>
      </w:r>
      <w:r>
        <w:rPr>
          <w:sz w:val="28"/>
          <w:szCs w:val="28"/>
        </w:rPr>
        <w:t xml:space="preserve"> и составит 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году___</w:t>
      </w:r>
      <w:r>
        <w:rPr>
          <w:sz w:val="28"/>
          <w:szCs w:val="28"/>
        </w:rPr>
        <w:t xml:space="preserve">шт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финансирования услуг </w:t>
      </w:r>
      <w:r>
        <w:rPr>
          <w:sz w:val="28"/>
          <w:szCs w:val="28"/>
        </w:rPr>
        <w:t xml:space="preserve">по спортивной подготовке                            в соответствии с требованиями федеральных стандартов спортивной подготовки                   по видам спорта в муниципальных учреждениях</w:t>
      </w:r>
      <w:r>
        <w:rPr>
          <w:sz w:val="28"/>
          <w:szCs w:val="28"/>
        </w:rPr>
        <w:t xml:space="preserve">, осуществляющих подготовку спортивного резерва, в 20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году до___%.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widowControl w:val="off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Перечень представляемых документов:</w:t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ыписка из муниципальной программы, включающей мероприятия направленные на реализацию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и(</w:t>
      </w:r>
      <w:r>
        <w:rPr>
          <w:sz w:val="28"/>
          <w:szCs w:val="28"/>
        </w:rPr>
        <w:t xml:space="preserve">или) на подготовку спортивного резерва, заверенн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подписью главы администрации муниципального образования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на ____л.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копия муниципального задания на текущий год и на плановый период                   (для подтверждения оказания услуг по реализации дополнительных образовательных программ спортивной подготовки </w:t>
      </w:r>
      <w:r>
        <w:rPr>
          <w:sz w:val="28"/>
          <w:szCs w:val="28"/>
        </w:rPr>
        <w:t xml:space="preserve">и(</w:t>
      </w:r>
      <w:r>
        <w:rPr>
          <w:sz w:val="28"/>
          <w:szCs w:val="28"/>
        </w:rPr>
        <w:t xml:space="preserve">или) работ, направленных на подготовку спортивного резерва), заверенная подписью главы администрации муниципального образования на ____л.;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jc w:val="both"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выписка о размерах средств на текущий финансовый год и на пл</w:t>
      </w:r>
      <w:r>
        <w:rPr>
          <w:rFonts w:eastAsiaTheme="minorHAnsi"/>
          <w:sz w:val="28"/>
          <w:szCs w:val="28"/>
          <w:lang w:eastAsia="en-US"/>
        </w:rPr>
        <w:t xml:space="preserve">ановый период, предусмотренных в бюджете муниципального образования, или справка о размере средств, планируемых к выделению из бюджета муниципального образования на оказание услуг по реализации дополнительных образовательных программ спортивной подготовки </w:t>
      </w:r>
      <w:r>
        <w:rPr>
          <w:rFonts w:eastAsiaTheme="minorHAnsi"/>
          <w:sz w:val="28"/>
          <w:szCs w:val="28"/>
          <w:lang w:eastAsia="en-US"/>
        </w:rPr>
        <w:t xml:space="preserve">и(</w:t>
      </w:r>
      <w:r>
        <w:rPr>
          <w:rFonts w:eastAsiaTheme="minorHAnsi"/>
          <w:sz w:val="28"/>
          <w:szCs w:val="28"/>
          <w:lang w:eastAsia="en-US"/>
        </w:rPr>
        <w:t xml:space="preserve">или) работ, направленных на подготовку спорт</w:t>
      </w:r>
      <w:r>
        <w:rPr>
          <w:rFonts w:eastAsiaTheme="minorHAnsi"/>
          <w:sz w:val="28"/>
          <w:szCs w:val="28"/>
          <w:lang w:eastAsia="en-US"/>
        </w:rPr>
        <w:t xml:space="preserve">ивного резерва, заверенная</w:t>
      </w:r>
      <w:r>
        <w:rPr>
          <w:rFonts w:eastAsiaTheme="minorHAnsi"/>
          <w:sz w:val="28"/>
          <w:szCs w:val="28"/>
          <w:lang w:eastAsia="en-US"/>
        </w:rPr>
        <w:t xml:space="preserve"> подписью главы администрации муниципального образования и(или) руководителя финансового органа муниципального образования на ____</w:t>
      </w:r>
      <w:r>
        <w:rPr>
          <w:rFonts w:eastAsiaTheme="minorHAnsi"/>
          <w:sz w:val="28"/>
          <w:szCs w:val="28"/>
          <w:lang w:eastAsia="en-US"/>
        </w:rPr>
        <w:t xml:space="preserve">л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муниципального образования 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_________________/________________/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(подпись)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(Ф.И.О.)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«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___»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_</w:t>
      </w:r>
      <w:r>
        <w:rPr>
          <w:i/>
          <w:sz w:val="28"/>
          <w:szCs w:val="28"/>
        </w:rPr>
        <w:t xml:space="preserve">___</w:t>
      </w:r>
      <w:r>
        <w:rPr>
          <w:i/>
          <w:sz w:val="28"/>
          <w:szCs w:val="28"/>
        </w:rPr>
        <w:t xml:space="preserve">____</w:t>
      </w:r>
      <w:r>
        <w:rPr>
          <w:sz w:val="28"/>
          <w:szCs w:val="28"/>
        </w:rPr>
        <w:t xml:space="preserve">___ 20__</w:t>
      </w:r>
      <w:r>
        <w:rPr>
          <w:sz w:val="28"/>
          <w:szCs w:val="28"/>
        </w:rPr>
        <w:t xml:space="preserve">___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fldSimple w:instr="PAGE \* MERGEFORMAT">
      <w:r>
        <w:t xml:space="preserve">1</w:t>
      </w:r>
    </w:fldSimple>
    <w:r/>
    <w:r/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1"/>
    <w:next w:val="871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2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1"/>
    <w:next w:val="87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2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2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2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2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2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2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2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1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1"/>
    <w:next w:val="87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2"/>
    <w:link w:val="715"/>
    <w:uiPriority w:val="10"/>
    <w:rPr>
      <w:sz w:val="48"/>
      <w:szCs w:val="48"/>
    </w:rPr>
  </w:style>
  <w:style w:type="paragraph" w:styleId="717">
    <w:name w:val="Subtitle"/>
    <w:basedOn w:val="871"/>
    <w:next w:val="87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2"/>
    <w:link w:val="717"/>
    <w:uiPriority w:val="11"/>
    <w:rPr>
      <w:sz w:val="24"/>
      <w:szCs w:val="24"/>
    </w:rPr>
  </w:style>
  <w:style w:type="paragraph" w:styleId="719">
    <w:name w:val="Quote"/>
    <w:basedOn w:val="871"/>
    <w:next w:val="871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1"/>
    <w:next w:val="871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2"/>
    <w:link w:val="877"/>
    <w:uiPriority w:val="99"/>
  </w:style>
  <w:style w:type="character" w:styleId="724">
    <w:name w:val="Footer Char"/>
    <w:basedOn w:val="872"/>
    <w:link w:val="879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2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 w:customStyle="1">
    <w:name w:val="ConsPlusNormal"/>
    <w:link w:val="876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76" w:customStyle="1">
    <w:name w:val="ConsPlusNormal Знак"/>
    <w:link w:val="875"/>
    <w:rPr>
      <w:rFonts w:ascii="Calibri" w:hAnsi="Calibri" w:eastAsia="Times New Roman" w:cs="Calibri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9">
    <w:name w:val="Footer"/>
    <w:basedOn w:val="871"/>
    <w:link w:val="8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6B76-8D02-49B4-859A-7E03FDFF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Валентиновна Егорова</dc:creator>
  <cp:lastModifiedBy>ea_molodtseva</cp:lastModifiedBy>
  <cp:revision>9</cp:revision>
  <dcterms:created xsi:type="dcterms:W3CDTF">2024-08-19T05:42:00Z</dcterms:created>
  <dcterms:modified xsi:type="dcterms:W3CDTF">2026-06-19T06:26:52Z</dcterms:modified>
</cp:coreProperties>
</file>